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D02" w:rsidRPr="00A86D02" w:rsidRDefault="00A86D02" w:rsidP="00A86D02">
      <w:pPr>
        <w:spacing w:before="100" w:beforeAutospacing="1" w:after="100" w:afterAutospacing="1" w:line="240" w:lineRule="auto"/>
        <w:rPr>
          <w:rFonts w:ascii="Times New Roman" w:eastAsia="Times New Roman" w:hAnsi="Times New Roman" w:cs="Times New Roman"/>
          <w:sz w:val="24"/>
          <w:szCs w:val="24"/>
          <w:lang w:eastAsia="cs-CZ"/>
        </w:rPr>
      </w:pPr>
      <w:r w:rsidRPr="00A86D02">
        <w:rPr>
          <w:rFonts w:ascii="Times New Roman" w:eastAsia="Times New Roman" w:hAnsi="Times New Roman" w:cs="Times New Roman"/>
          <w:sz w:val="24"/>
          <w:szCs w:val="24"/>
          <w:lang w:eastAsia="cs-CZ"/>
        </w:rPr>
        <w:t>Vážené kolegyně – vážení kolegové, </w:t>
      </w:r>
    </w:p>
    <w:p w:rsidR="00A86D02" w:rsidRPr="00A86D02" w:rsidRDefault="00A86D02" w:rsidP="00A86D02">
      <w:pPr>
        <w:spacing w:before="100" w:beforeAutospacing="1" w:after="100" w:afterAutospacing="1" w:line="240" w:lineRule="auto"/>
        <w:rPr>
          <w:rFonts w:ascii="Times New Roman" w:eastAsia="Times New Roman" w:hAnsi="Times New Roman" w:cs="Times New Roman"/>
          <w:sz w:val="24"/>
          <w:szCs w:val="24"/>
          <w:lang w:eastAsia="cs-CZ"/>
        </w:rPr>
      </w:pPr>
      <w:r w:rsidRPr="00A86D02">
        <w:rPr>
          <w:rFonts w:ascii="Times New Roman" w:eastAsia="Times New Roman" w:hAnsi="Times New Roman" w:cs="Times New Roman"/>
          <w:sz w:val="24"/>
          <w:szCs w:val="24"/>
          <w:lang w:eastAsia="cs-CZ"/>
        </w:rPr>
        <w:t>v současné situaci přicházejí z knihoven dotazy, zda je v souladu s autorským zákonem, když veřejné čtení v prostorách knihovny, jež je dlouhodobě znemožněno uzavřením knihoven pro veřejnost na základě epidemiologických opatření, nahrazují tak, že by na sociálních sítích vystavovali záznam předčítání děl nebo že by alespoň zpřístupňovali předčítání živě. </w:t>
      </w:r>
    </w:p>
    <w:p w:rsidR="00A86D02" w:rsidRPr="00A86D02" w:rsidRDefault="00A86D02" w:rsidP="00A86D02">
      <w:pPr>
        <w:spacing w:before="100" w:beforeAutospacing="1" w:after="100" w:afterAutospacing="1" w:line="240" w:lineRule="auto"/>
        <w:rPr>
          <w:rFonts w:ascii="Times New Roman" w:eastAsia="Times New Roman" w:hAnsi="Times New Roman" w:cs="Times New Roman"/>
          <w:sz w:val="24"/>
          <w:szCs w:val="24"/>
          <w:lang w:eastAsia="cs-CZ"/>
        </w:rPr>
      </w:pPr>
      <w:r w:rsidRPr="00A86D02">
        <w:rPr>
          <w:rFonts w:ascii="Times New Roman" w:eastAsia="Times New Roman" w:hAnsi="Times New Roman" w:cs="Times New Roman"/>
          <w:sz w:val="24"/>
          <w:szCs w:val="24"/>
          <w:lang w:eastAsia="cs-CZ"/>
        </w:rPr>
        <w:t xml:space="preserve">Proč nelze na sociálních sítích vystavovat záznamy předčítání děl autorů, u kterých ještě doba trvání majetkových autorských práv neuplynula, vysvětluje dr. Vít Richter ve svém příspěvku na webu Knihovnického institutu Národní knihovny ČR </w:t>
      </w:r>
      <w:hyperlink r:id="rId4" w:history="1">
        <w:r w:rsidRPr="00A86D02">
          <w:rPr>
            <w:rFonts w:ascii="Times New Roman" w:eastAsia="Times New Roman" w:hAnsi="Times New Roman" w:cs="Times New Roman"/>
            <w:color w:val="0000FF"/>
            <w:sz w:val="24"/>
            <w:szCs w:val="24"/>
            <w:u w:val="single"/>
            <w:lang w:eastAsia="cs-CZ"/>
          </w:rPr>
          <w:t>https://ipk.nkp.cz/koronavirus-1/je-mozne-predcitat-knihy-a-nahravky-davat-na-facebook-nebo-you-tube</w:t>
        </w:r>
      </w:hyperlink>
      <w:r w:rsidRPr="00A86D02">
        <w:rPr>
          <w:rFonts w:ascii="Times New Roman" w:eastAsia="Times New Roman" w:hAnsi="Times New Roman" w:cs="Times New Roman"/>
          <w:sz w:val="24"/>
          <w:szCs w:val="24"/>
          <w:lang w:eastAsia="cs-CZ"/>
        </w:rPr>
        <w:t xml:space="preserve"> . </w:t>
      </w:r>
    </w:p>
    <w:p w:rsidR="00A86D02" w:rsidRPr="00A86D02" w:rsidRDefault="00A86D02" w:rsidP="00A86D02">
      <w:pPr>
        <w:spacing w:before="100" w:beforeAutospacing="1" w:after="100" w:afterAutospacing="1" w:line="240" w:lineRule="auto"/>
        <w:rPr>
          <w:rFonts w:ascii="Times New Roman" w:eastAsia="Times New Roman" w:hAnsi="Times New Roman" w:cs="Times New Roman"/>
          <w:sz w:val="24"/>
          <w:szCs w:val="24"/>
          <w:lang w:eastAsia="cs-CZ"/>
        </w:rPr>
      </w:pPr>
      <w:r w:rsidRPr="00A86D02">
        <w:rPr>
          <w:rFonts w:ascii="Times New Roman" w:eastAsia="Times New Roman" w:hAnsi="Times New Roman" w:cs="Times New Roman"/>
          <w:sz w:val="24"/>
          <w:szCs w:val="24"/>
          <w:lang w:eastAsia="cs-CZ"/>
        </w:rPr>
        <w:t>Obdobná odpověď se ovšem vztahuje i na možnost zpřístupňovat předčítání živě, jakkoli se může někomu jevit, že není podstatný rozdíl mezi veřejným čtením v prostorách knihovny s účastníky na místě a pro osoby sledující čtení "v přímém přenosu". </w:t>
      </w:r>
    </w:p>
    <w:p w:rsidR="00A86D02" w:rsidRPr="00A86D02" w:rsidRDefault="00A86D02" w:rsidP="00A86D02">
      <w:pPr>
        <w:spacing w:before="100" w:beforeAutospacing="1" w:after="100" w:afterAutospacing="1" w:line="240" w:lineRule="auto"/>
        <w:rPr>
          <w:rFonts w:ascii="Times New Roman" w:eastAsia="Times New Roman" w:hAnsi="Times New Roman" w:cs="Times New Roman"/>
          <w:sz w:val="24"/>
          <w:szCs w:val="24"/>
          <w:lang w:eastAsia="cs-CZ"/>
        </w:rPr>
      </w:pPr>
      <w:r w:rsidRPr="00A86D02">
        <w:rPr>
          <w:rFonts w:ascii="Times New Roman" w:eastAsia="Times New Roman" w:hAnsi="Times New Roman" w:cs="Times New Roman"/>
          <w:sz w:val="24"/>
          <w:szCs w:val="24"/>
        </w:rPr>
        <w:t>Problém není v tom, že by příslušné ustanovení zákona nebo text licence poskytnuté kolektivním správcem DILIA živé zpřístupňování předčítání na Internetu zakazovalo, ale v tom, že je výslovně nepovoluje. Neboť na rozdíl od obecné zásady soukromého práva (co není zakázáno, je povoleno), v oboru autorského práva je dovoleno jen to, co je výslovně povoleno – ať nositelem práv nebo zákonem.  </w:t>
      </w:r>
      <w:r w:rsidRPr="00A86D02">
        <w:rPr>
          <w:rFonts w:ascii="Times New Roman" w:eastAsia="Times New Roman" w:hAnsi="Times New Roman" w:cs="Times New Roman"/>
          <w:i/>
          <w:iCs/>
          <w:sz w:val="24"/>
          <w:szCs w:val="24"/>
        </w:rPr>
        <w:t>Všechna práva jsou totiž vyhrazena autorovi – což je obsah známé fráze, kterou někdy nalézáme na rubu titulního listu knihy. A jen zákon může stanovit výjimku z ochrany práv autora nebo práva autora omezit – např. stanovit, že kolektivní správce smí poskytnout licenci k nějakému užití, i když k tomu nemá výslovné pověření autora, jako je tomu v případě licence na veřejné čtení.</w:t>
      </w:r>
      <w:r w:rsidRPr="00A86D02">
        <w:rPr>
          <w:rFonts w:ascii="Times New Roman" w:eastAsia="Times New Roman" w:hAnsi="Times New Roman" w:cs="Times New Roman"/>
          <w:sz w:val="24"/>
          <w:szCs w:val="24"/>
        </w:rPr>
        <w:t> Aby živé zpřístupňování veřejného čtení knihovnou bylo oprávněné, musel by takový způsob užití díla být jak ve vymezení rozsahu možné licence ve zmocnění kolektivního správce uvedeném v autorském zákoně, tak v samotné licenci výslovně uveden.</w:t>
      </w:r>
      <w:r w:rsidRPr="00A86D02">
        <w:rPr>
          <w:rFonts w:ascii="Arial" w:eastAsia="Times New Roman" w:hAnsi="Arial" w:cs="Arial"/>
          <w:sz w:val="16"/>
          <w:szCs w:val="16"/>
          <w:lang w:eastAsia="cs-CZ"/>
        </w:rPr>
        <w:t xml:space="preserve"> </w:t>
      </w:r>
      <w:r w:rsidRPr="00A86D02">
        <w:rPr>
          <w:rFonts w:ascii="Times New Roman" w:eastAsia="Times New Roman" w:hAnsi="Times New Roman" w:cs="Times New Roman"/>
          <w:sz w:val="24"/>
          <w:szCs w:val="24"/>
        </w:rPr>
        <w:t xml:space="preserve">V autorském zákoně však předmětné ustanovení takovou možnost neuvádí. A kolektivní správce DILIA nesmí poskytnout licenci v rozsahu širším, než jak to stanovuje zákon. </w:t>
      </w:r>
    </w:p>
    <w:p w:rsidR="00A86D02" w:rsidRPr="00A86D02" w:rsidRDefault="00A86D02" w:rsidP="00A86D02">
      <w:pPr>
        <w:spacing w:before="100" w:beforeAutospacing="1" w:after="100" w:afterAutospacing="1" w:line="240" w:lineRule="auto"/>
        <w:rPr>
          <w:rFonts w:ascii="Times New Roman" w:eastAsia="Times New Roman" w:hAnsi="Times New Roman" w:cs="Times New Roman"/>
          <w:sz w:val="24"/>
          <w:szCs w:val="24"/>
          <w:lang w:eastAsia="cs-CZ"/>
        </w:rPr>
      </w:pPr>
      <w:r w:rsidRPr="00A86D02">
        <w:rPr>
          <w:rFonts w:ascii="Times New Roman" w:eastAsia="Times New Roman" w:hAnsi="Times New Roman" w:cs="Times New Roman"/>
          <w:sz w:val="24"/>
          <w:szCs w:val="24"/>
        </w:rPr>
        <w:t>Proto je licence na veřejné čtení v knihovnách fakticky (byť ne výslovně) vztažena výlučně na fyzické místo, kde k "živému nedivadelnímu provozování díla" dochází. (Jen pro úplnost: zákonné ustanovení je obecné, netýká se jen veřejného čtení v knihovnách, ale umožňuje pořádat veřejné čtení kýmkoli a kdekoli v konkrétním fyzickém prostoru pro přítomnou veřejnost, pokud není spjato s komerční činností.)</w:t>
      </w:r>
      <w:r w:rsidRPr="00A86D02">
        <w:rPr>
          <w:rFonts w:ascii="Times New Roman" w:eastAsia="Times New Roman" w:hAnsi="Times New Roman" w:cs="Times New Roman"/>
          <w:sz w:val="24"/>
          <w:szCs w:val="24"/>
          <w:lang w:eastAsia="cs-CZ"/>
        </w:rPr>
        <w:t> </w:t>
      </w:r>
    </w:p>
    <w:p w:rsidR="00A86D02" w:rsidRPr="00A86D02" w:rsidRDefault="00A86D02" w:rsidP="00A86D02">
      <w:pPr>
        <w:spacing w:before="100" w:beforeAutospacing="1" w:after="100" w:afterAutospacing="1" w:line="240" w:lineRule="auto"/>
        <w:rPr>
          <w:rFonts w:ascii="Times New Roman" w:eastAsia="Times New Roman" w:hAnsi="Times New Roman" w:cs="Times New Roman"/>
          <w:sz w:val="24"/>
          <w:szCs w:val="24"/>
          <w:lang w:eastAsia="cs-CZ"/>
        </w:rPr>
      </w:pPr>
      <w:r w:rsidRPr="00A86D02">
        <w:rPr>
          <w:rFonts w:ascii="Times New Roman" w:eastAsia="Times New Roman" w:hAnsi="Times New Roman" w:cs="Times New Roman"/>
          <w:sz w:val="24"/>
          <w:szCs w:val="24"/>
        </w:rPr>
        <w:t xml:space="preserve">K tomu, co uvádí jako možné východisko dr. Richter (obecně získání souhlasu autora, předčítání vlastních děl nebo děl volných, u světových autorů včetně volných překladů), lze rovněž poukázat na možnost, aby se knihovna obrátila na autora žijícího v místě či v okolí, který píše či vydal díla, která jsou vztažena k místu či kraji a jsou vhodná pro děti (legendy, </w:t>
      </w:r>
      <w:proofErr w:type="gramStart"/>
      <w:r w:rsidRPr="00A86D02">
        <w:rPr>
          <w:rFonts w:ascii="Times New Roman" w:eastAsia="Times New Roman" w:hAnsi="Times New Roman" w:cs="Times New Roman"/>
          <w:sz w:val="24"/>
          <w:szCs w:val="24"/>
        </w:rPr>
        <w:t>procházky, ...). Souhlas</w:t>
      </w:r>
      <w:proofErr w:type="gramEnd"/>
      <w:r w:rsidRPr="00A86D02">
        <w:rPr>
          <w:rFonts w:ascii="Times New Roman" w:eastAsia="Times New Roman" w:hAnsi="Times New Roman" w:cs="Times New Roman"/>
          <w:sz w:val="24"/>
          <w:szCs w:val="24"/>
        </w:rPr>
        <w:t xml:space="preserve"> za autora již nežijícího je oprávněna poskytnout jeho rodina (dědici - manžel, manželka, děti, vnoučata). Plnohodnotná forma potřebného souhlasu – přesněji smlouvy o poskytnutí licence – je písemné vyhotovení podepsané oběma stranami. Poznamenejme, že písemné vyhotovení (včetně podpisů) může mít dnes také elektronickou </w:t>
      </w:r>
      <w:proofErr w:type="gramStart"/>
      <w:r w:rsidRPr="00A86D02">
        <w:rPr>
          <w:rFonts w:ascii="Times New Roman" w:eastAsia="Times New Roman" w:hAnsi="Times New Roman" w:cs="Times New Roman"/>
          <w:sz w:val="24"/>
          <w:szCs w:val="24"/>
        </w:rPr>
        <w:t>formu. (... a alespoň</w:t>
      </w:r>
      <w:proofErr w:type="gramEnd"/>
      <w:r w:rsidRPr="00A86D02">
        <w:rPr>
          <w:rFonts w:ascii="Times New Roman" w:eastAsia="Times New Roman" w:hAnsi="Times New Roman" w:cs="Times New Roman"/>
          <w:sz w:val="24"/>
          <w:szCs w:val="24"/>
        </w:rPr>
        <w:t xml:space="preserve"> e-mail od samotného autora může být přijatelnější než nic...)</w:t>
      </w:r>
    </w:p>
    <w:p w:rsidR="00A86D02" w:rsidRPr="00A86D02" w:rsidRDefault="00A86D02" w:rsidP="00A86D02">
      <w:pPr>
        <w:spacing w:before="100" w:beforeAutospacing="1" w:after="100" w:afterAutospacing="1" w:line="240" w:lineRule="auto"/>
        <w:rPr>
          <w:rFonts w:ascii="Times New Roman" w:eastAsia="Times New Roman" w:hAnsi="Times New Roman" w:cs="Times New Roman"/>
          <w:sz w:val="24"/>
          <w:szCs w:val="24"/>
          <w:lang w:eastAsia="cs-CZ"/>
        </w:rPr>
      </w:pPr>
      <w:r w:rsidRPr="00A86D02">
        <w:rPr>
          <w:rFonts w:ascii="Times New Roman" w:eastAsia="Times New Roman" w:hAnsi="Times New Roman" w:cs="Times New Roman"/>
          <w:sz w:val="24"/>
          <w:szCs w:val="24"/>
        </w:rPr>
        <w:t xml:space="preserve">S přáním mnoha zdaru v současné době </w:t>
      </w:r>
      <w:proofErr w:type="spellStart"/>
      <w:r w:rsidRPr="00A86D02">
        <w:rPr>
          <w:rFonts w:ascii="Times New Roman" w:eastAsia="Times New Roman" w:hAnsi="Times New Roman" w:cs="Times New Roman"/>
          <w:sz w:val="24"/>
          <w:szCs w:val="24"/>
        </w:rPr>
        <w:t>covidové</w:t>
      </w:r>
      <w:proofErr w:type="spellEnd"/>
      <w:r w:rsidRPr="00A86D02">
        <w:rPr>
          <w:rFonts w:ascii="Times New Roman" w:eastAsia="Times New Roman" w:hAnsi="Times New Roman" w:cs="Times New Roman"/>
          <w:sz w:val="24"/>
          <w:szCs w:val="24"/>
        </w:rPr>
        <w:t>,</w:t>
      </w:r>
    </w:p>
    <w:p w:rsidR="006D337C" w:rsidRDefault="00A86D02" w:rsidP="00A86D02">
      <w:pPr>
        <w:spacing w:before="100" w:beforeAutospacing="1" w:after="100" w:afterAutospacing="1" w:line="240" w:lineRule="auto"/>
      </w:pPr>
      <w:r w:rsidRPr="00A86D02">
        <w:rPr>
          <w:rFonts w:ascii="Times New Roman" w:eastAsia="Times New Roman" w:hAnsi="Times New Roman" w:cs="Times New Roman"/>
          <w:sz w:val="24"/>
          <w:szCs w:val="24"/>
          <w:lang w:eastAsia="cs-CZ"/>
        </w:rPr>
        <w:t>Z. Matušík</w:t>
      </w:r>
      <w:bookmarkStart w:id="0" w:name="_GoBack"/>
      <w:bookmarkEnd w:id="0"/>
    </w:p>
    <w:sectPr w:rsidR="006D3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D02"/>
    <w:rsid w:val="006D337C"/>
    <w:rsid w:val="00A86D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4B84B-2D48-43F9-9764-E7244365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86D02"/>
    <w:rPr>
      <w:color w:val="0000FF"/>
      <w:u w:val="single"/>
    </w:rPr>
  </w:style>
  <w:style w:type="paragraph" w:styleId="Prosttext">
    <w:name w:val="Plain Text"/>
    <w:basedOn w:val="Normln"/>
    <w:link w:val="ProsttextChar"/>
    <w:uiPriority w:val="99"/>
    <w:semiHidden/>
    <w:unhideWhenUsed/>
    <w:rsid w:val="00A86D0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rosttextChar">
    <w:name w:val="Prostý text Char"/>
    <w:basedOn w:val="Standardnpsmoodstavce"/>
    <w:link w:val="Prosttext"/>
    <w:uiPriority w:val="99"/>
    <w:semiHidden/>
    <w:rsid w:val="00A86D0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86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pk.nkp.cz/koronavirus-1/je-mozne-predcitat-knihy-a-nahravky-davat-na-facebook-nebo-you-tub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513</Words>
  <Characters>3029</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kasparkova</dc:creator>
  <cp:keywords/>
  <dc:description/>
  <cp:lastModifiedBy>kasparkova</cp:lastModifiedBy>
  <cp:revision>1</cp:revision>
  <dcterms:created xsi:type="dcterms:W3CDTF">2021-02-12T08:11:00Z</dcterms:created>
  <dcterms:modified xsi:type="dcterms:W3CDTF">2021-02-12T08:13:00Z</dcterms:modified>
</cp:coreProperties>
</file>